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215F3" w14:textId="77777777" w:rsidR="00EB1C5A" w:rsidRPr="00E14EC2" w:rsidRDefault="00EB1C5A" w:rsidP="004321DB">
      <w:pPr>
        <w:pStyle w:val="F2-zkladn"/>
        <w:rPr>
          <w:b/>
          <w:sz w:val="28"/>
          <w:szCs w:val="28"/>
        </w:rPr>
      </w:pPr>
      <w:r>
        <w:rPr>
          <w:b/>
          <w:sz w:val="28"/>
          <w:szCs w:val="28"/>
        </w:rPr>
        <w:t>TISKOVÁ ZPRÁVA</w:t>
      </w:r>
    </w:p>
    <w:p w14:paraId="3730F680" w14:textId="32EF9C16" w:rsidR="00EB1C5A" w:rsidRDefault="00EB1C5A" w:rsidP="004321DB">
      <w:pPr>
        <w:pStyle w:val="F2-zkladn"/>
        <w:tabs>
          <w:tab w:val="right" w:pos="9070"/>
        </w:tabs>
      </w:pPr>
      <w:r>
        <w:tab/>
      </w:r>
      <w:r w:rsidR="00BE16A9">
        <w:t xml:space="preserve">Praha, </w:t>
      </w:r>
      <w:r w:rsidR="00966657" w:rsidRPr="00966657">
        <w:t>1</w:t>
      </w:r>
      <w:r w:rsidR="00150B6E">
        <w:t>8</w:t>
      </w:r>
      <w:r w:rsidR="00BE16A9" w:rsidRPr="00966657">
        <w:t xml:space="preserve">. </w:t>
      </w:r>
      <w:r w:rsidR="001F501D" w:rsidRPr="00966657">
        <w:t>ledna</w:t>
      </w:r>
      <w:r w:rsidR="00BE16A9">
        <w:t xml:space="preserve"> 202</w:t>
      </w:r>
      <w:r w:rsidR="001F501D">
        <w:t>3</w:t>
      </w:r>
    </w:p>
    <w:p w14:paraId="43B3D632" w14:textId="1A77F41E" w:rsidR="00ED4CF4" w:rsidRDefault="00024EB1" w:rsidP="00024EB1">
      <w:pPr>
        <w:tabs>
          <w:tab w:val="right" w:pos="9070"/>
        </w:tabs>
        <w:spacing w:before="36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Analýza TPA: Aktivita na M&amp;A trhu v ČR a CEE </w:t>
      </w:r>
      <w:r w:rsidR="002212EA">
        <w:rPr>
          <w:rFonts w:ascii="Arial" w:hAnsi="Arial" w:cs="Arial"/>
          <w:b/>
          <w:sz w:val="28"/>
          <w:szCs w:val="28"/>
        </w:rPr>
        <w:t>v</w:t>
      </w:r>
      <w:r w:rsidR="00B47281">
        <w:rPr>
          <w:rFonts w:ascii="Arial" w:hAnsi="Arial" w:cs="Arial"/>
          <w:b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1F501D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>Q 202</w:t>
      </w:r>
      <w:r w:rsidR="00307EBA">
        <w:rPr>
          <w:rFonts w:ascii="Arial" w:hAnsi="Arial" w:cs="Arial"/>
          <w:b/>
          <w:sz w:val="28"/>
          <w:szCs w:val="28"/>
        </w:rPr>
        <w:t>2</w:t>
      </w:r>
      <w:r w:rsidR="002212EA">
        <w:rPr>
          <w:rFonts w:ascii="Arial" w:hAnsi="Arial" w:cs="Arial"/>
          <w:b/>
          <w:sz w:val="28"/>
          <w:szCs w:val="28"/>
        </w:rPr>
        <w:t xml:space="preserve"> – </w:t>
      </w:r>
      <w:r w:rsidR="002E39E1">
        <w:rPr>
          <w:rFonts w:ascii="Arial" w:hAnsi="Arial" w:cs="Arial"/>
          <w:b/>
          <w:sz w:val="28"/>
          <w:szCs w:val="28"/>
        </w:rPr>
        <w:t xml:space="preserve">počet transakcí </w:t>
      </w:r>
      <w:r w:rsidR="001F501D">
        <w:rPr>
          <w:rFonts w:ascii="Arial" w:hAnsi="Arial" w:cs="Arial"/>
          <w:b/>
          <w:sz w:val="28"/>
          <w:szCs w:val="28"/>
        </w:rPr>
        <w:t>i jejich objem meziročně klesl</w:t>
      </w:r>
      <w:r w:rsidR="008A6922">
        <w:rPr>
          <w:rFonts w:ascii="Arial" w:hAnsi="Arial" w:cs="Arial"/>
          <w:b/>
          <w:sz w:val="28"/>
          <w:szCs w:val="28"/>
        </w:rPr>
        <w:t xml:space="preserve"> </w:t>
      </w:r>
    </w:p>
    <w:p w14:paraId="1082AA43" w14:textId="77777777" w:rsidR="001F501D" w:rsidRDefault="001F501D" w:rsidP="001F501D">
      <w:pPr>
        <w:pStyle w:val="Default"/>
        <w:spacing w:line="360" w:lineRule="auto"/>
        <w:jc w:val="both"/>
        <w:rPr>
          <w:rFonts w:eastAsia="Times New Roman"/>
          <w:b/>
          <w:bCs/>
          <w:sz w:val="20"/>
          <w:szCs w:val="20"/>
          <w:lang w:eastAsia="cs-CZ"/>
        </w:rPr>
      </w:pPr>
    </w:p>
    <w:p w14:paraId="402FB9D6" w14:textId="6AE836F6" w:rsidR="001F501D" w:rsidRDefault="001F501D" w:rsidP="001F501D">
      <w:pPr>
        <w:pStyle w:val="Default"/>
        <w:spacing w:line="360" w:lineRule="auto"/>
        <w:jc w:val="both"/>
        <w:rPr>
          <w:rFonts w:eastAsia="Times New Roman"/>
          <w:b/>
          <w:bCs/>
          <w:sz w:val="20"/>
          <w:szCs w:val="20"/>
          <w:lang w:eastAsia="cs-CZ"/>
        </w:rPr>
      </w:pPr>
      <w:r w:rsidRPr="001F501D">
        <w:rPr>
          <w:rFonts w:eastAsia="Times New Roman"/>
          <w:b/>
          <w:bCs/>
          <w:sz w:val="20"/>
          <w:szCs w:val="20"/>
          <w:lang w:eastAsia="cs-CZ"/>
        </w:rPr>
        <w:t>Počet transakcí na trhu fúzí a akvizic v Česku ve čtvrtém čtvrtletí meziročně klesl na 11 z 21, snížil se i jejich objem. Na území Č</w:t>
      </w:r>
      <w:r>
        <w:rPr>
          <w:rFonts w:eastAsia="Times New Roman"/>
          <w:b/>
          <w:bCs/>
          <w:sz w:val="20"/>
          <w:szCs w:val="20"/>
          <w:lang w:eastAsia="cs-CZ"/>
        </w:rPr>
        <w:t>eské republiky</w:t>
      </w:r>
      <w:r w:rsidRPr="001F501D">
        <w:rPr>
          <w:rFonts w:eastAsia="Times New Roman"/>
          <w:b/>
          <w:bCs/>
          <w:sz w:val="20"/>
          <w:szCs w:val="20"/>
          <w:lang w:eastAsia="cs-CZ"/>
        </w:rPr>
        <w:t xml:space="preserve"> či se zapojením ČR se tak uskutečnily ve čtvrtém čtvrtletí transakce za 135 milionů eur (cca 3,3 miliardy korun), zatímco ve čtvrtém </w:t>
      </w:r>
      <w:r>
        <w:rPr>
          <w:rFonts w:eastAsia="Times New Roman"/>
          <w:b/>
          <w:bCs/>
          <w:sz w:val="20"/>
          <w:szCs w:val="20"/>
          <w:lang w:eastAsia="cs-CZ"/>
        </w:rPr>
        <w:t xml:space="preserve">čtvrtletí roku </w:t>
      </w:r>
      <w:r w:rsidRPr="001F501D">
        <w:rPr>
          <w:rFonts w:eastAsia="Times New Roman"/>
          <w:b/>
          <w:bCs/>
          <w:sz w:val="20"/>
          <w:szCs w:val="20"/>
          <w:lang w:eastAsia="cs-CZ"/>
        </w:rPr>
        <w:t>2021 to bylo 1,74 miliardy eur (cca 41,9 miliardy Kč)</w:t>
      </w:r>
      <w:r w:rsidR="00DE31D0">
        <w:rPr>
          <w:rStyle w:val="Znakapoznpodarou"/>
          <w:rFonts w:eastAsia="Times New Roman"/>
          <w:b/>
          <w:bCs/>
          <w:sz w:val="20"/>
          <w:szCs w:val="20"/>
          <w:lang w:eastAsia="cs-CZ"/>
        </w:rPr>
        <w:footnoteReference w:id="1"/>
      </w:r>
      <w:r w:rsidRPr="001F501D">
        <w:rPr>
          <w:rFonts w:eastAsia="Times New Roman"/>
          <w:b/>
          <w:bCs/>
          <w:sz w:val="20"/>
          <w:szCs w:val="20"/>
          <w:lang w:eastAsia="cs-CZ"/>
        </w:rPr>
        <w:t>.  Vyplývá to ze statistik poradenské společnosti TPA. V celém středoevropském regionu situaci na trhu fúzí a akvizic ovlivňuj</w:t>
      </w:r>
      <w:r w:rsidR="00704A15">
        <w:rPr>
          <w:rFonts w:eastAsia="Times New Roman"/>
          <w:b/>
          <w:bCs/>
          <w:sz w:val="20"/>
          <w:szCs w:val="20"/>
          <w:lang w:eastAsia="cs-CZ"/>
        </w:rPr>
        <w:t>í</w:t>
      </w:r>
      <w:r w:rsidRPr="001F501D">
        <w:rPr>
          <w:rFonts w:eastAsia="Times New Roman"/>
          <w:b/>
          <w:bCs/>
          <w:sz w:val="20"/>
          <w:szCs w:val="20"/>
          <w:lang w:eastAsia="cs-CZ"/>
        </w:rPr>
        <w:t xml:space="preserve"> </w:t>
      </w:r>
      <w:r w:rsidR="00704A15">
        <w:rPr>
          <w:rFonts w:eastAsia="Times New Roman"/>
          <w:b/>
          <w:bCs/>
          <w:sz w:val="20"/>
          <w:szCs w:val="20"/>
          <w:lang w:eastAsia="cs-CZ"/>
        </w:rPr>
        <w:t xml:space="preserve">dopady </w:t>
      </w:r>
      <w:r w:rsidRPr="001F501D">
        <w:rPr>
          <w:rFonts w:eastAsia="Times New Roman"/>
          <w:b/>
          <w:bCs/>
          <w:sz w:val="20"/>
          <w:szCs w:val="20"/>
          <w:lang w:eastAsia="cs-CZ"/>
        </w:rPr>
        <w:t>válk</w:t>
      </w:r>
      <w:r w:rsidR="00704A15">
        <w:rPr>
          <w:rFonts w:eastAsia="Times New Roman"/>
          <w:b/>
          <w:bCs/>
          <w:sz w:val="20"/>
          <w:szCs w:val="20"/>
          <w:lang w:eastAsia="cs-CZ"/>
        </w:rPr>
        <w:t>y</w:t>
      </w:r>
      <w:r w:rsidRPr="001F501D">
        <w:rPr>
          <w:rFonts w:eastAsia="Times New Roman"/>
          <w:b/>
          <w:bCs/>
          <w:sz w:val="20"/>
          <w:szCs w:val="20"/>
          <w:lang w:eastAsia="cs-CZ"/>
        </w:rPr>
        <w:t xml:space="preserve"> na Ukrajině. </w:t>
      </w:r>
    </w:p>
    <w:p w14:paraId="61FBAEA5" w14:textId="0F67CC1B" w:rsidR="007B4CB7" w:rsidRDefault="007B4CB7" w:rsidP="001F501D">
      <w:pPr>
        <w:pStyle w:val="Default"/>
        <w:spacing w:line="360" w:lineRule="auto"/>
        <w:jc w:val="both"/>
        <w:rPr>
          <w:rFonts w:eastAsia="Times New Roman"/>
          <w:b/>
          <w:bCs/>
          <w:sz w:val="20"/>
          <w:szCs w:val="20"/>
          <w:lang w:eastAsia="cs-CZ"/>
        </w:rPr>
      </w:pPr>
    </w:p>
    <w:p w14:paraId="733A0615" w14:textId="71B9441D" w:rsidR="007B4CB7" w:rsidRPr="007B4CB7" w:rsidRDefault="007B4CB7" w:rsidP="007B4CB7">
      <w:pPr>
        <w:pStyle w:val="Default"/>
        <w:jc w:val="both"/>
        <w:rPr>
          <w:rFonts w:asciiTheme="minorHAnsi" w:hAnsiTheme="minorHAnsi" w:cstheme="minorHAnsi"/>
        </w:rPr>
      </w:pPr>
      <w:r w:rsidRPr="007B4CB7">
        <w:rPr>
          <w:rFonts w:asciiTheme="minorHAnsi" w:eastAsia="Times New Roman" w:hAnsiTheme="minorHAnsi" w:cstheme="minorHAnsi"/>
          <w:lang w:eastAsia="cs-CZ"/>
        </w:rPr>
        <w:t xml:space="preserve">Nejvýznamnější transakcí s dostupnými údaji v Česku v loňském čtvrtém čtvrtletí bylo uzavření smlouvy o nákupu </w:t>
      </w:r>
      <w:r>
        <w:rPr>
          <w:rFonts w:asciiTheme="minorHAnsi" w:eastAsia="Times New Roman" w:hAnsiTheme="minorHAnsi" w:cstheme="minorHAnsi"/>
          <w:lang w:eastAsia="cs-CZ"/>
        </w:rPr>
        <w:t>úvěrového</w:t>
      </w:r>
      <w:r w:rsidRPr="007B4CB7">
        <w:rPr>
          <w:rFonts w:asciiTheme="minorHAnsi" w:eastAsia="Times New Roman" w:hAnsiTheme="minorHAnsi" w:cstheme="minorHAnsi"/>
          <w:lang w:eastAsia="cs-CZ"/>
        </w:rPr>
        <w:t xml:space="preserve"> portfolia banky Sberbank CZ se společnost</w:t>
      </w:r>
      <w:r>
        <w:rPr>
          <w:rFonts w:asciiTheme="minorHAnsi" w:eastAsia="Times New Roman" w:hAnsiTheme="minorHAnsi" w:cstheme="minorHAnsi"/>
          <w:lang w:eastAsia="cs-CZ"/>
        </w:rPr>
        <w:t>í</w:t>
      </w:r>
      <w:r w:rsidRPr="007B4CB7">
        <w:rPr>
          <w:rFonts w:asciiTheme="minorHAnsi" w:eastAsia="Times New Roman" w:hAnsiTheme="minorHAnsi" w:cstheme="minorHAnsi"/>
          <w:lang w:eastAsia="cs-CZ"/>
        </w:rPr>
        <w:t xml:space="preserve"> Česká spořitelna. </w:t>
      </w:r>
      <w:r w:rsidRPr="007B4CB7">
        <w:rPr>
          <w:rFonts w:asciiTheme="minorHAnsi" w:eastAsia="Times New Roman" w:hAnsiTheme="minorHAnsi" w:cstheme="minorHAnsi"/>
          <w:i/>
          <w:iCs/>
          <w:lang w:eastAsia="cs-CZ"/>
        </w:rPr>
        <w:t>„Insolvence společnosti Sberbank CZ je co do počtu věřitelů a finanční</w:t>
      </w:r>
      <w:r>
        <w:rPr>
          <w:rFonts w:asciiTheme="minorHAnsi" w:eastAsia="Times New Roman" w:hAnsiTheme="minorHAnsi" w:cstheme="minorHAnsi"/>
          <w:i/>
          <w:iCs/>
          <w:lang w:eastAsia="cs-CZ"/>
        </w:rPr>
        <w:t>ho</w:t>
      </w:r>
      <w:r w:rsidRPr="007B4CB7">
        <w:rPr>
          <w:rFonts w:asciiTheme="minorHAnsi" w:eastAsia="Times New Roman" w:hAnsiTheme="minorHAnsi" w:cstheme="minorHAnsi"/>
          <w:i/>
          <w:iCs/>
          <w:lang w:eastAsia="cs-CZ"/>
        </w:rPr>
        <w:t xml:space="preserve"> objemu jedna z</w:t>
      </w:r>
      <w:r w:rsidR="00704A15">
        <w:rPr>
          <w:rFonts w:asciiTheme="minorHAnsi" w:eastAsia="Times New Roman" w:hAnsiTheme="minorHAnsi" w:cstheme="minorHAnsi"/>
          <w:i/>
          <w:iCs/>
          <w:lang w:eastAsia="cs-CZ"/>
        </w:rPr>
        <w:t> </w:t>
      </w:r>
      <w:r>
        <w:rPr>
          <w:rFonts w:asciiTheme="minorHAnsi" w:eastAsia="Times New Roman" w:hAnsiTheme="minorHAnsi" w:cstheme="minorHAnsi"/>
          <w:i/>
          <w:iCs/>
          <w:lang w:eastAsia="cs-CZ"/>
        </w:rPr>
        <w:t>největších</w:t>
      </w:r>
      <w:r w:rsidRPr="007B4CB7">
        <w:rPr>
          <w:rFonts w:asciiTheme="minorHAnsi" w:eastAsia="Times New Roman" w:hAnsiTheme="minorHAnsi" w:cstheme="minorHAnsi"/>
          <w:i/>
          <w:iCs/>
          <w:lang w:eastAsia="cs-CZ"/>
        </w:rPr>
        <w:t xml:space="preserve"> insolvencí v</w:t>
      </w:r>
      <w:r w:rsidR="00704A15">
        <w:rPr>
          <w:rFonts w:asciiTheme="minorHAnsi" w:eastAsia="Times New Roman" w:hAnsiTheme="minorHAnsi" w:cstheme="minorHAnsi"/>
          <w:i/>
          <w:iCs/>
          <w:lang w:eastAsia="cs-CZ"/>
        </w:rPr>
        <w:t> </w:t>
      </w:r>
      <w:r w:rsidRPr="007B4CB7">
        <w:rPr>
          <w:rFonts w:asciiTheme="minorHAnsi" w:eastAsia="Times New Roman" w:hAnsiTheme="minorHAnsi" w:cstheme="minorHAnsi"/>
          <w:i/>
          <w:iCs/>
          <w:lang w:eastAsia="cs-CZ"/>
        </w:rPr>
        <w:t>historií České́ republiky. Ke kompletnímu vypořádání transakce by pak mělo dojít</w:t>
      </w:r>
      <w:r w:rsidR="00704A15">
        <w:rPr>
          <w:rFonts w:asciiTheme="minorHAnsi" w:eastAsia="Times New Roman" w:hAnsiTheme="minorHAnsi" w:cstheme="minorHAnsi"/>
          <w:i/>
          <w:iCs/>
          <w:lang w:eastAsia="cs-CZ"/>
        </w:rPr>
        <w:t>, podle dostupných informací,</w:t>
      </w:r>
      <w:r w:rsidRPr="007B4CB7">
        <w:rPr>
          <w:rFonts w:asciiTheme="minorHAnsi" w:eastAsia="Times New Roman" w:hAnsiTheme="minorHAnsi" w:cstheme="minorHAnsi"/>
          <w:i/>
          <w:iCs/>
          <w:lang w:eastAsia="cs-CZ"/>
        </w:rPr>
        <w:t xml:space="preserve"> v první polovině roku 2023,“</w:t>
      </w:r>
      <w:r w:rsidRPr="007B4CB7">
        <w:rPr>
          <w:rFonts w:asciiTheme="minorHAnsi" w:eastAsia="Times New Roman" w:hAnsiTheme="minorHAnsi" w:cstheme="minorHAnsi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lang w:eastAsia="cs-CZ"/>
        </w:rPr>
        <w:t xml:space="preserve">uvedl </w:t>
      </w:r>
      <w:r w:rsidRPr="007B4CB7">
        <w:rPr>
          <w:rFonts w:asciiTheme="minorHAnsi" w:hAnsiTheme="minorHAnsi" w:cstheme="minorHAnsi"/>
        </w:rPr>
        <w:t xml:space="preserve">Jiří Hlaváč partner TPA </w:t>
      </w:r>
      <w:proofErr w:type="spellStart"/>
      <w:r w:rsidRPr="007B4CB7">
        <w:rPr>
          <w:rFonts w:asciiTheme="minorHAnsi" w:hAnsiTheme="minorHAnsi" w:cstheme="minorHAnsi"/>
        </w:rPr>
        <w:t>Valuation</w:t>
      </w:r>
      <w:proofErr w:type="spellEnd"/>
      <w:r w:rsidRPr="007B4CB7">
        <w:rPr>
          <w:rFonts w:asciiTheme="minorHAnsi" w:hAnsiTheme="minorHAnsi" w:cstheme="minorHAnsi"/>
        </w:rPr>
        <w:t xml:space="preserve"> &amp; Advisory.</w:t>
      </w:r>
    </w:p>
    <w:p w14:paraId="34233E44" w14:textId="14085B07" w:rsidR="007B4CB7" w:rsidRPr="007B4CB7" w:rsidRDefault="007B4CB7" w:rsidP="007B4CB7">
      <w:pPr>
        <w:pStyle w:val="Default"/>
        <w:jc w:val="both"/>
        <w:rPr>
          <w:rFonts w:asciiTheme="minorHAnsi" w:eastAsia="Times New Roman" w:hAnsiTheme="minorHAnsi" w:cstheme="minorHAnsi"/>
          <w:lang w:eastAsia="cs-CZ"/>
        </w:rPr>
      </w:pPr>
    </w:p>
    <w:p w14:paraId="5154606C" w14:textId="5942799B" w:rsidR="007B4CB7" w:rsidRDefault="007B4CB7" w:rsidP="007B4CB7">
      <w:pPr>
        <w:pStyle w:val="Default"/>
        <w:jc w:val="both"/>
        <w:rPr>
          <w:rFonts w:asciiTheme="minorHAnsi" w:eastAsia="Times New Roman" w:hAnsiTheme="minorHAnsi" w:cstheme="minorHAnsi"/>
          <w:lang w:eastAsia="cs-CZ"/>
        </w:rPr>
      </w:pPr>
      <w:r w:rsidRPr="007B4CB7">
        <w:rPr>
          <w:rFonts w:asciiTheme="minorHAnsi" w:eastAsia="Times New Roman" w:hAnsiTheme="minorHAnsi" w:cstheme="minorHAnsi"/>
          <w:lang w:eastAsia="cs-CZ"/>
        </w:rPr>
        <w:t>V celém středoevropském regionu (Albánie, Bulharsko, Černá Hora, Česká republika, Chorvatsko, Maďarsko, Polsko, Rakousko, Rumunsko, Slovensko, Slovinsko a Srbsko) celkový počet transakcí meziročně stoupl na 159 ze 126. Objem těchto transakcí ale meziročně výrazně klesl, a to na 2,95 miliardy eur z 11,5 miliardy eur.</w:t>
      </w:r>
    </w:p>
    <w:p w14:paraId="66401296" w14:textId="4315F82E" w:rsidR="00E20A11" w:rsidRDefault="00E20A11" w:rsidP="007B4CB7">
      <w:pPr>
        <w:pStyle w:val="Default"/>
        <w:jc w:val="both"/>
        <w:rPr>
          <w:rFonts w:asciiTheme="minorHAnsi" w:eastAsia="Times New Roman" w:hAnsiTheme="minorHAnsi" w:cstheme="minorHAnsi"/>
          <w:lang w:eastAsia="cs-CZ"/>
        </w:rPr>
      </w:pPr>
    </w:p>
    <w:p w14:paraId="0867C3F1" w14:textId="400B0A3A" w:rsidR="00E20A11" w:rsidRPr="00E20A11" w:rsidRDefault="00E20A11" w:rsidP="00E20A11">
      <w:pPr>
        <w:pStyle w:val="Default"/>
        <w:jc w:val="both"/>
        <w:rPr>
          <w:rFonts w:asciiTheme="minorHAnsi" w:eastAsia="Times New Roman" w:hAnsiTheme="minorHAnsi" w:cstheme="minorHAnsi"/>
          <w:lang w:eastAsia="cs-CZ"/>
        </w:rPr>
      </w:pPr>
      <w:r w:rsidRPr="00E20A11">
        <w:rPr>
          <w:rFonts w:asciiTheme="minorHAnsi" w:eastAsia="Times New Roman" w:hAnsiTheme="minorHAnsi" w:cstheme="minorHAnsi"/>
          <w:lang w:eastAsia="cs-CZ"/>
        </w:rPr>
        <w:t xml:space="preserve">Největší zveřejněnou transakcí v regionu bylo v loňském čtvrtém čtvrtletí převzetí polského distributora elektřiny PKP </w:t>
      </w:r>
      <w:proofErr w:type="spellStart"/>
      <w:r w:rsidRPr="00E20A11">
        <w:rPr>
          <w:rFonts w:asciiTheme="minorHAnsi" w:eastAsia="Times New Roman" w:hAnsiTheme="minorHAnsi" w:cstheme="minorHAnsi"/>
          <w:lang w:eastAsia="cs-CZ"/>
        </w:rPr>
        <w:t>Energetyka</w:t>
      </w:r>
      <w:proofErr w:type="spellEnd"/>
      <w:r w:rsidRPr="00E20A11">
        <w:rPr>
          <w:rFonts w:asciiTheme="minorHAnsi" w:eastAsia="Times New Roman" w:hAnsiTheme="minorHAnsi" w:cstheme="minorHAnsi"/>
          <w:lang w:eastAsia="cs-CZ"/>
        </w:rPr>
        <w:t xml:space="preserve"> polskou státní energetickou společností PGE Polska Grupa </w:t>
      </w:r>
      <w:proofErr w:type="spellStart"/>
      <w:r w:rsidRPr="00E20A11">
        <w:rPr>
          <w:rFonts w:asciiTheme="minorHAnsi" w:eastAsia="Times New Roman" w:hAnsiTheme="minorHAnsi" w:cstheme="minorHAnsi"/>
          <w:lang w:eastAsia="cs-CZ"/>
        </w:rPr>
        <w:t>Energetyczna</w:t>
      </w:r>
      <w:proofErr w:type="spellEnd"/>
      <w:r w:rsidRPr="00E20A11">
        <w:rPr>
          <w:rFonts w:asciiTheme="minorHAnsi" w:eastAsia="Times New Roman" w:hAnsiTheme="minorHAnsi" w:cstheme="minorHAnsi"/>
          <w:lang w:eastAsia="cs-CZ"/>
        </w:rPr>
        <w:t xml:space="preserve">. </w:t>
      </w:r>
      <w:r w:rsidRPr="00E20A11">
        <w:rPr>
          <w:rFonts w:asciiTheme="minorHAnsi" w:eastAsia="Times New Roman" w:hAnsiTheme="minorHAnsi" w:cstheme="minorHAnsi"/>
          <w:i/>
          <w:iCs/>
          <w:lang w:eastAsia="cs-CZ"/>
        </w:rPr>
        <w:t xml:space="preserve">„Polská vláda tak pokračuje v trendu nastoleném na začátku roku 2022, kdy prostřednictvím několika transakcí posiluje svou energetickou bezpečnost. Dosavadním vlastníkem společnosti PKP </w:t>
      </w:r>
      <w:proofErr w:type="spellStart"/>
      <w:r w:rsidRPr="00E20A11">
        <w:rPr>
          <w:rFonts w:asciiTheme="minorHAnsi" w:eastAsia="Times New Roman" w:hAnsiTheme="minorHAnsi" w:cstheme="minorHAnsi"/>
          <w:i/>
          <w:iCs/>
          <w:lang w:eastAsia="cs-CZ"/>
        </w:rPr>
        <w:t>Energetyka</w:t>
      </w:r>
      <w:proofErr w:type="spellEnd"/>
      <w:r w:rsidRPr="00E20A11">
        <w:rPr>
          <w:rFonts w:asciiTheme="minorHAnsi" w:eastAsia="Times New Roman" w:hAnsiTheme="minorHAnsi" w:cstheme="minorHAnsi"/>
          <w:i/>
          <w:iCs/>
          <w:lang w:eastAsia="cs-CZ"/>
        </w:rPr>
        <w:t xml:space="preserve"> Sp byla britská́ společnost CVC </w:t>
      </w:r>
      <w:proofErr w:type="spellStart"/>
      <w:r w:rsidRPr="00E20A11">
        <w:rPr>
          <w:rFonts w:asciiTheme="minorHAnsi" w:eastAsia="Times New Roman" w:hAnsiTheme="minorHAnsi" w:cstheme="minorHAnsi"/>
          <w:i/>
          <w:iCs/>
          <w:lang w:eastAsia="cs-CZ"/>
        </w:rPr>
        <w:t>Advisers</w:t>
      </w:r>
      <w:proofErr w:type="spellEnd"/>
      <w:r w:rsidRPr="00E20A11">
        <w:rPr>
          <w:rFonts w:asciiTheme="minorHAnsi" w:eastAsia="Times New Roman" w:hAnsiTheme="minorHAnsi" w:cstheme="minorHAnsi"/>
          <w:i/>
          <w:iCs/>
          <w:lang w:eastAsia="cs-CZ"/>
        </w:rPr>
        <w:t xml:space="preserve"> ltd. </w:t>
      </w:r>
      <w:proofErr w:type="spellStart"/>
      <w:r w:rsidRPr="00E20A11">
        <w:rPr>
          <w:rFonts w:asciiTheme="minorHAnsi" w:eastAsia="Times New Roman" w:hAnsiTheme="minorHAnsi" w:cstheme="minorHAnsi"/>
          <w:i/>
          <w:iCs/>
          <w:lang w:eastAsia="cs-CZ"/>
        </w:rPr>
        <w:t>zaměřujíci</w:t>
      </w:r>
      <w:proofErr w:type="spellEnd"/>
      <w:r w:rsidRPr="00E20A11">
        <w:rPr>
          <w:rFonts w:asciiTheme="minorHAnsi" w:eastAsia="Times New Roman" w:hAnsiTheme="minorHAnsi" w:cstheme="minorHAnsi"/>
          <w:i/>
          <w:iCs/>
          <w:lang w:eastAsia="cs-CZ"/>
        </w:rPr>
        <w:t xml:space="preserve">́ se na investice do </w:t>
      </w:r>
      <w:proofErr w:type="spellStart"/>
      <w:r w:rsidRPr="00E20A11">
        <w:rPr>
          <w:rFonts w:asciiTheme="minorHAnsi" w:eastAsia="Times New Roman" w:hAnsiTheme="minorHAnsi" w:cstheme="minorHAnsi"/>
          <w:i/>
          <w:iCs/>
          <w:lang w:eastAsia="cs-CZ"/>
        </w:rPr>
        <w:t>private</w:t>
      </w:r>
      <w:proofErr w:type="spellEnd"/>
      <w:r w:rsidRPr="00E20A11">
        <w:rPr>
          <w:rFonts w:asciiTheme="minorHAnsi" w:eastAsia="Times New Roman" w:hAnsiTheme="minorHAnsi" w:cstheme="minorHAnsi"/>
          <w:i/>
          <w:iCs/>
          <w:lang w:eastAsia="cs-CZ"/>
        </w:rPr>
        <w:t xml:space="preserve"> </w:t>
      </w:r>
      <w:proofErr w:type="spellStart"/>
      <w:r w:rsidRPr="00E20A11">
        <w:rPr>
          <w:rFonts w:asciiTheme="minorHAnsi" w:eastAsia="Times New Roman" w:hAnsiTheme="minorHAnsi" w:cstheme="minorHAnsi"/>
          <w:i/>
          <w:iCs/>
          <w:lang w:eastAsia="cs-CZ"/>
        </w:rPr>
        <w:t>equiity</w:t>
      </w:r>
      <w:proofErr w:type="spellEnd"/>
      <w:r w:rsidRPr="00E20A11">
        <w:rPr>
          <w:rFonts w:asciiTheme="minorHAnsi" w:eastAsia="Times New Roman" w:hAnsiTheme="minorHAnsi" w:cstheme="minorHAnsi"/>
          <w:i/>
          <w:iCs/>
          <w:lang w:eastAsia="cs-CZ"/>
        </w:rPr>
        <w:t>,“</w:t>
      </w:r>
      <w:r w:rsidRPr="00E20A11">
        <w:rPr>
          <w:rFonts w:asciiTheme="minorHAnsi" w:eastAsia="Times New Roman" w:hAnsiTheme="minorHAnsi" w:cstheme="minorHAnsi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lang w:eastAsia="cs-CZ"/>
        </w:rPr>
        <w:t>sdělil Hlaváč.</w:t>
      </w:r>
    </w:p>
    <w:p w14:paraId="3CDEE7EF" w14:textId="77777777" w:rsidR="00E20A11" w:rsidRPr="007B4CB7" w:rsidRDefault="00E20A11" w:rsidP="007B4CB7">
      <w:pPr>
        <w:pStyle w:val="Default"/>
        <w:jc w:val="both"/>
        <w:rPr>
          <w:rFonts w:asciiTheme="minorHAnsi" w:eastAsia="Times New Roman" w:hAnsiTheme="minorHAnsi" w:cstheme="minorHAnsi"/>
          <w:lang w:eastAsia="cs-CZ"/>
        </w:rPr>
      </w:pPr>
    </w:p>
    <w:p w14:paraId="1EF89E6A" w14:textId="45E20ACF" w:rsidR="00E20A11" w:rsidRPr="00E20A11" w:rsidRDefault="00E20A11" w:rsidP="00E20A11">
      <w:pPr>
        <w:spacing w:line="240" w:lineRule="auto"/>
        <w:jc w:val="both"/>
        <w:rPr>
          <w:sz w:val="24"/>
          <w:szCs w:val="24"/>
        </w:rPr>
      </w:pPr>
      <w:r w:rsidRPr="00E20A11">
        <w:rPr>
          <w:sz w:val="24"/>
          <w:szCs w:val="24"/>
        </w:rPr>
        <w:t>Ve srovnání s třetím čtvrtletím v celém regionu mezičtvrtletně klesl počet transakcí o 26, jejich objem klesl o 11,1 miliardy eur. V Česku počet transakcí mezičtvrtletně klesl o 19 (z 30 na 11), při poklesu objemu o 31 milionů eur (166 milionů eur ve 3. čtvrtletí vs. 135 milionů eur ve 4. čtvrtletí).</w:t>
      </w:r>
    </w:p>
    <w:p w14:paraId="3AA14FA7" w14:textId="06DCE510" w:rsidR="00E20A11" w:rsidRPr="00E20A11" w:rsidRDefault="00E20A11" w:rsidP="00E20A11">
      <w:pPr>
        <w:spacing w:line="240" w:lineRule="auto"/>
        <w:jc w:val="both"/>
        <w:rPr>
          <w:i/>
          <w:iCs/>
          <w:sz w:val="24"/>
          <w:szCs w:val="24"/>
        </w:rPr>
      </w:pPr>
      <w:r w:rsidRPr="00E20A11">
        <w:rPr>
          <w:i/>
          <w:iCs/>
          <w:sz w:val="24"/>
          <w:szCs w:val="24"/>
        </w:rPr>
        <w:lastRenderedPageBreak/>
        <w:t xml:space="preserve">„V roce 2022 došlo v regionu k poklesu v objemu uskutečněných transakcí oproti roku 2021 o téměř 25 procent. Pro investory zůstávají atraktivní sektory počítačového softwaru, automatizace, obnovitelných zdrojů či telekomunikací a dlouhodobě nemovitostní sektor, zvýšenou atraktivitu očekáváme v oblasti potravinové bezpečnosti, zbrojní výroby a dodávek materiálu. Situaci na M&amp;A trhu bude dále ovlivňovat konflikt na Ukrajině, který bude pro potenciální investory omezením v podobě nejistoty budoucího vývoje v různých odvětvích v celém regionu,“ </w:t>
      </w:r>
      <w:r w:rsidRPr="00E20A11">
        <w:rPr>
          <w:sz w:val="24"/>
          <w:szCs w:val="24"/>
        </w:rPr>
        <w:t>doplnil Hlaváč.</w:t>
      </w:r>
    </w:p>
    <w:p w14:paraId="1C0DEB52" w14:textId="137EE83C" w:rsidR="007B4CB7" w:rsidRPr="00DE31D0" w:rsidRDefault="00DE31D0" w:rsidP="00DE31D0">
      <w:pPr>
        <w:pStyle w:val="Default"/>
        <w:jc w:val="both"/>
        <w:rPr>
          <w:rFonts w:asciiTheme="minorHAnsi" w:eastAsia="Times New Roman" w:hAnsiTheme="minorHAnsi" w:cstheme="minorHAnsi"/>
          <w:lang w:eastAsia="cs-CZ"/>
        </w:rPr>
      </w:pPr>
      <w:r w:rsidRPr="00DE31D0">
        <w:rPr>
          <w:rFonts w:asciiTheme="minorHAnsi" w:eastAsia="Times New Roman" w:hAnsiTheme="minorHAnsi" w:cstheme="minorHAnsi"/>
          <w:lang w:eastAsia="cs-CZ"/>
        </w:rPr>
        <w:t xml:space="preserve">V roce 2022 </w:t>
      </w:r>
      <w:r>
        <w:rPr>
          <w:rFonts w:asciiTheme="minorHAnsi" w:eastAsia="Times New Roman" w:hAnsiTheme="minorHAnsi" w:cstheme="minorHAnsi"/>
          <w:lang w:eastAsia="cs-CZ"/>
        </w:rPr>
        <w:t>byl</w:t>
      </w:r>
      <w:r w:rsidR="0023538B">
        <w:rPr>
          <w:rFonts w:asciiTheme="minorHAnsi" w:eastAsia="Times New Roman" w:hAnsiTheme="minorHAnsi" w:cstheme="minorHAnsi"/>
          <w:lang w:eastAsia="cs-CZ"/>
        </w:rPr>
        <w:t>a</w:t>
      </w:r>
      <w:r>
        <w:rPr>
          <w:rFonts w:asciiTheme="minorHAnsi" w:eastAsia="Times New Roman" w:hAnsiTheme="minorHAnsi" w:cstheme="minorHAnsi"/>
          <w:lang w:eastAsia="cs-CZ"/>
        </w:rPr>
        <w:t xml:space="preserve"> také v regionu CEE dosažena nejnižší mediánová hodnota násobitele EBITDA od roku 2008, a to ve výši 7,0. </w:t>
      </w:r>
      <w:r w:rsidR="0023538B">
        <w:rPr>
          <w:rFonts w:asciiTheme="minorHAnsi" w:eastAsia="Times New Roman" w:hAnsiTheme="minorHAnsi" w:cstheme="minorHAnsi"/>
          <w:lang w:eastAsia="cs-CZ"/>
        </w:rPr>
        <w:t xml:space="preserve">Obdobně nízký byl tento ukazatel v letech 2009 a v roce 2017, kdy dosáhl hodnoty 7,1. </w:t>
      </w:r>
      <w:r>
        <w:rPr>
          <w:rFonts w:asciiTheme="minorHAnsi" w:eastAsia="Times New Roman" w:hAnsiTheme="minorHAnsi" w:cstheme="minorHAnsi"/>
          <w:lang w:eastAsia="cs-CZ"/>
        </w:rPr>
        <w:t xml:space="preserve">Pro srovnání v roce 2021 byla </w:t>
      </w:r>
      <w:r w:rsidR="0023538B">
        <w:rPr>
          <w:rFonts w:asciiTheme="minorHAnsi" w:eastAsia="Times New Roman" w:hAnsiTheme="minorHAnsi" w:cstheme="minorHAnsi"/>
          <w:lang w:eastAsia="cs-CZ"/>
        </w:rPr>
        <w:t>mediánová hodnota násobitele ve výš 10,0 (nevyšší byl násobek v roce 2008, kdy dosáhl výše 10,8).</w:t>
      </w:r>
    </w:p>
    <w:p w14:paraId="09BC8275" w14:textId="77777777" w:rsidR="00704A15" w:rsidRPr="001F501D" w:rsidRDefault="00704A15" w:rsidP="001F501D">
      <w:pPr>
        <w:pStyle w:val="Default"/>
        <w:spacing w:line="360" w:lineRule="auto"/>
        <w:jc w:val="both"/>
        <w:rPr>
          <w:rFonts w:eastAsia="Times New Roman"/>
          <w:b/>
          <w:bCs/>
          <w:sz w:val="20"/>
          <w:szCs w:val="20"/>
          <w:lang w:eastAsia="cs-CZ"/>
        </w:rPr>
      </w:pPr>
    </w:p>
    <w:p w14:paraId="368A6582" w14:textId="77777777" w:rsidR="00021254" w:rsidRDefault="00021254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766502C4" w14:textId="77777777" w:rsidR="00EB1C5A" w:rsidRDefault="00EB1C5A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  <w:r w:rsidRPr="001A0CB6">
        <w:rPr>
          <w:b/>
        </w:rPr>
        <w:t>Pro více informací kontaktujte:</w:t>
      </w:r>
    </w:p>
    <w:p w14:paraId="1C28118A" w14:textId="73FE04A0" w:rsidR="00EB1C5A" w:rsidRPr="003916F2" w:rsidRDefault="002A3294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Kamila </w:t>
      </w:r>
      <w:proofErr w:type="spellStart"/>
      <w:r>
        <w:rPr>
          <w:rFonts w:ascii="Arial" w:hAnsi="Arial" w:cs="Arial"/>
          <w:sz w:val="20"/>
          <w:szCs w:val="20"/>
        </w:rPr>
        <w:t>Žitnáková</w:t>
      </w:r>
      <w:proofErr w:type="spellEnd"/>
    </w:p>
    <w:p w14:paraId="4835AA2F" w14:textId="77777777" w:rsidR="00EB1C5A" w:rsidRPr="00AF63E5" w:rsidRDefault="00EB1C5A" w:rsidP="005A2DC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F63E5">
        <w:rPr>
          <w:rFonts w:ascii="Arial" w:hAnsi="Arial" w:cs="Arial"/>
          <w:b/>
          <w:bCs/>
          <w:sz w:val="20"/>
          <w:szCs w:val="20"/>
        </w:rPr>
        <w:t>Crest Communications, a.s.</w:t>
      </w:r>
    </w:p>
    <w:p w14:paraId="4DCE98C0" w14:textId="77777777" w:rsidR="00EB1C5A" w:rsidRPr="00AF63E5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Ostrovní 126/30</w:t>
      </w:r>
    </w:p>
    <w:p w14:paraId="09C6E920" w14:textId="77777777" w:rsidR="00EB1C5A" w:rsidRPr="00AF63E5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110 00 Praha 1</w:t>
      </w:r>
    </w:p>
    <w:p w14:paraId="2EEA2F44" w14:textId="5E276D42" w:rsidR="00EB1C5A" w:rsidRPr="00AF63E5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AF63E5">
        <w:rPr>
          <w:rFonts w:ascii="Arial" w:hAnsi="Arial" w:cs="Arial"/>
          <w:sz w:val="20"/>
          <w:szCs w:val="20"/>
        </w:rPr>
        <w:t>gsm</w:t>
      </w:r>
      <w:proofErr w:type="spellEnd"/>
      <w:r w:rsidRPr="00AF63E5">
        <w:rPr>
          <w:rFonts w:ascii="Arial" w:hAnsi="Arial" w:cs="Arial"/>
          <w:sz w:val="20"/>
          <w:szCs w:val="20"/>
        </w:rPr>
        <w:t xml:space="preserve">: + 420 </w:t>
      </w:r>
      <w:r w:rsidR="003D5F96" w:rsidRPr="003D5F96">
        <w:rPr>
          <w:rFonts w:ascii="Arial" w:hAnsi="Arial" w:cs="Arial"/>
          <w:sz w:val="20"/>
          <w:szCs w:val="20"/>
        </w:rPr>
        <w:t>725 544 106</w:t>
      </w:r>
    </w:p>
    <w:p w14:paraId="692417D8" w14:textId="77777777" w:rsidR="00EB1C5A" w:rsidRPr="00AF63E5" w:rsidRDefault="00000000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hyperlink w:tooltip="blocked::http://www.crestcom.cz&#10;http://www.crestcom.cz/" w:history="1">
        <w:r w:rsidR="00EB1C5A" w:rsidRPr="00AF63E5">
          <w:rPr>
            <w:rStyle w:val="Hypertextovodkaz"/>
            <w:rFonts w:ascii="Arial" w:hAnsi="Arial" w:cs="Arial"/>
            <w:color w:val="990033"/>
            <w:sz w:val="20"/>
            <w:szCs w:val="20"/>
          </w:rPr>
          <w:t>www.crestcom.cz</w:t>
        </w:r>
      </w:hyperlink>
    </w:p>
    <w:p w14:paraId="28B3B900" w14:textId="5CDD139B" w:rsidR="00316D20" w:rsidRDefault="00EB1C5A" w:rsidP="00316D20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  <w:szCs w:val="20"/>
        </w:rPr>
      </w:pPr>
      <w:r w:rsidRPr="00AF63E5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7" w:history="1">
        <w:r w:rsidR="002A3294" w:rsidRPr="00564BCF">
          <w:rPr>
            <w:rStyle w:val="Hypertextovodkaz"/>
            <w:rFonts w:ascii="Arial" w:hAnsi="Arial" w:cs="Arial"/>
            <w:sz w:val="20"/>
            <w:szCs w:val="20"/>
          </w:rPr>
          <w:t>kamila.zitnakova@crestcom.cz</w:t>
        </w:r>
      </w:hyperlink>
    </w:p>
    <w:p w14:paraId="0C9BF7BF" w14:textId="77777777" w:rsidR="002A3294" w:rsidRDefault="002A3294" w:rsidP="00316D20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  <w:szCs w:val="20"/>
        </w:rPr>
      </w:pPr>
    </w:p>
    <w:p w14:paraId="11CCEE53" w14:textId="77777777" w:rsidR="005A2DC0" w:rsidRPr="00316D20" w:rsidRDefault="00EB1C5A" w:rsidP="00316D2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A0CB6">
        <w:rPr>
          <w:b/>
        </w:rPr>
        <w:t>Informace pro editory:</w:t>
      </w:r>
    </w:p>
    <w:p w14:paraId="7DDF97E7" w14:textId="77777777" w:rsidR="005A2DC0" w:rsidRPr="001A0CB6" w:rsidRDefault="005A2DC0" w:rsidP="005A2DC0">
      <w:pPr>
        <w:pStyle w:val="F2-zkladn"/>
        <w:spacing w:before="0" w:line="240" w:lineRule="auto"/>
        <w:rPr>
          <w:b/>
        </w:rPr>
      </w:pPr>
    </w:p>
    <w:p w14:paraId="05D36A23" w14:textId="77777777" w:rsidR="00EB1C5A" w:rsidRPr="003E1363" w:rsidRDefault="00EB1C5A" w:rsidP="005A2DC0">
      <w:pPr>
        <w:pStyle w:val="F2-zkladn"/>
        <w:spacing w:before="0" w:line="240" w:lineRule="auto"/>
      </w:pPr>
      <w:r w:rsidRPr="00316C9E">
        <w:t xml:space="preserve">Skupina </w:t>
      </w:r>
      <w:r w:rsidRPr="001A0CB6">
        <w:rPr>
          <w:b/>
        </w:rPr>
        <w:t xml:space="preserve">TPA </w:t>
      </w:r>
      <w:r>
        <w:rPr>
          <w:b/>
        </w:rPr>
        <w:t>Group</w:t>
      </w:r>
      <w:r w:rsidRPr="00316C9E">
        <w:t xml:space="preserve"> </w:t>
      </w:r>
      <w:r>
        <w:t>poskytuje v České republice své služby od roku</w:t>
      </w:r>
      <w:r w:rsidRPr="00316C9E">
        <w:t xml:space="preserve"> </w:t>
      </w:r>
      <w:smartTag w:uri="urn:schemas-microsoft-com:office:smarttags" w:element="metricconverter">
        <w:smartTagPr>
          <w:attr w:name="ProductID" w:val="1993 a"/>
        </w:smartTagPr>
        <w:r w:rsidRPr="00F32BD2">
          <w:t>1993</w:t>
        </w:r>
        <w:r w:rsidRPr="00316C9E">
          <w:t xml:space="preserve"> a</w:t>
        </w:r>
      </w:smartTag>
      <w:r w:rsidRPr="00316C9E">
        <w:t xml:space="preserve"> působí celkem v</w:t>
      </w:r>
      <w:r w:rsidR="00483CC4">
        <w:t>e dvanácti</w:t>
      </w:r>
      <w:r>
        <w:t xml:space="preserve"> </w:t>
      </w:r>
      <w:r w:rsidRPr="00316C9E">
        <w:t xml:space="preserve">zemích střední a </w:t>
      </w:r>
      <w:r>
        <w:t>jiho</w:t>
      </w:r>
      <w:r w:rsidRPr="00316C9E">
        <w:t xml:space="preserve">východní Evropy. </w:t>
      </w:r>
      <w:r w:rsidR="009B0DF4">
        <w:t>Poskytuje služby zej</w:t>
      </w:r>
      <w:r w:rsidR="009B0DF4" w:rsidRPr="00F25612">
        <w:t>ména v oblastech daňově poradenství, vedení účetnictví, auditu, oceňování a poradenství při akvizicích.</w:t>
      </w:r>
      <w:r w:rsidR="009B0DF4" w:rsidRPr="00316C9E">
        <w:t xml:space="preserve"> </w:t>
      </w:r>
      <w:r w:rsidRPr="00316C9E">
        <w:t xml:space="preserve"> Zaměřuje se především na </w:t>
      </w:r>
      <w:r>
        <w:t xml:space="preserve">korporátní </w:t>
      </w:r>
      <w:r w:rsidRPr="00316C9E">
        <w:t xml:space="preserve">klienty podnikající </w:t>
      </w:r>
      <w:r>
        <w:t xml:space="preserve">na mezinárodní úrovni </w:t>
      </w:r>
      <w:r w:rsidRPr="00316C9E">
        <w:t xml:space="preserve">v oblasti střední a </w:t>
      </w:r>
      <w:r>
        <w:t>jiho</w:t>
      </w:r>
      <w:r w:rsidRPr="00316C9E">
        <w:t xml:space="preserve">východní Evropy. </w:t>
      </w:r>
      <w:r>
        <w:t xml:space="preserve">Skupina TPA Group je nezávislým členem </w:t>
      </w:r>
      <w:r w:rsidRPr="00BC4A3D">
        <w:t>aliance</w:t>
      </w:r>
      <w:r w:rsidRPr="00F32BD2">
        <w:rPr>
          <w:b/>
        </w:rPr>
        <w:t xml:space="preserve"> </w:t>
      </w:r>
      <w:proofErr w:type="spellStart"/>
      <w:r w:rsidRPr="00F32BD2">
        <w:rPr>
          <w:b/>
        </w:rPr>
        <w:t>Baker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Tilly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Europe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Alliance</w:t>
      </w:r>
      <w:proofErr w:type="spellEnd"/>
      <w:r>
        <w:t xml:space="preserve">, </w:t>
      </w:r>
      <w:r w:rsidRPr="00316D20">
        <w:t xml:space="preserve">jejímiž dalšími členy je celosvětová poradenská síť </w:t>
      </w:r>
      <w:hyperlink r:id="rId8" w:history="1">
        <w:proofErr w:type="spellStart"/>
        <w:r w:rsidRPr="00316D20">
          <w:rPr>
            <w:rStyle w:val="Hypertextovodkaz"/>
            <w:b/>
          </w:rPr>
          <w:t>Baker</w:t>
        </w:r>
        <w:proofErr w:type="spellEnd"/>
        <w:r w:rsidRPr="00316D20">
          <w:rPr>
            <w:rStyle w:val="Hypertextovodkaz"/>
            <w:b/>
          </w:rPr>
          <w:t xml:space="preserve"> </w:t>
        </w:r>
        <w:proofErr w:type="spellStart"/>
        <w:r w:rsidRPr="00316D20">
          <w:rPr>
            <w:rStyle w:val="Hypertextovodkaz"/>
            <w:b/>
          </w:rPr>
          <w:t>Tilly</w:t>
        </w:r>
        <w:proofErr w:type="spellEnd"/>
        <w:r w:rsidRPr="00316D20">
          <w:rPr>
            <w:rStyle w:val="Hypertextovodkaz"/>
            <w:b/>
          </w:rPr>
          <w:t xml:space="preserve"> International</w:t>
        </w:r>
      </w:hyperlink>
      <w:r w:rsidRPr="00316D20">
        <w:t xml:space="preserve"> a samostatný člen </w:t>
      </w:r>
      <w:proofErr w:type="spellStart"/>
      <w:r w:rsidRPr="00316D20">
        <w:t>Baker</w:t>
      </w:r>
      <w:proofErr w:type="spellEnd"/>
      <w:r w:rsidRPr="00316D20">
        <w:t xml:space="preserve"> </w:t>
      </w:r>
      <w:proofErr w:type="spellStart"/>
      <w:r w:rsidRPr="00316D20">
        <w:t>Tilly</w:t>
      </w:r>
      <w:proofErr w:type="spellEnd"/>
      <w:r w:rsidRPr="00316D20">
        <w:t xml:space="preserve"> International, </w:t>
      </w:r>
      <w:hyperlink r:id="rId9" w:history="1">
        <w:proofErr w:type="spellStart"/>
        <w:r w:rsidR="00433B9A">
          <w:rPr>
            <w:rStyle w:val="Hypertextovodkaz"/>
            <w:b/>
          </w:rPr>
          <w:t>Baker</w:t>
        </w:r>
        <w:proofErr w:type="spellEnd"/>
        <w:r w:rsidR="00433B9A">
          <w:rPr>
            <w:rStyle w:val="Hypertextovodkaz"/>
            <w:b/>
          </w:rPr>
          <w:t xml:space="preserve"> </w:t>
        </w:r>
        <w:proofErr w:type="spellStart"/>
        <w:r w:rsidR="00433B9A">
          <w:rPr>
            <w:rStyle w:val="Hypertextovodkaz"/>
            <w:b/>
          </w:rPr>
          <w:t>Tilly</w:t>
        </w:r>
        <w:proofErr w:type="spellEnd"/>
      </w:hyperlink>
      <w:r w:rsidRPr="00316D20">
        <w:t xml:space="preserve"> v Německu. Díky</w:t>
      </w:r>
      <w:r>
        <w:t xml:space="preserve"> členství v </w:t>
      </w:r>
      <w:proofErr w:type="spellStart"/>
      <w:r>
        <w:t>Baker</w:t>
      </w:r>
      <w:proofErr w:type="spellEnd"/>
      <w:r>
        <w:t xml:space="preserve"> </w:t>
      </w:r>
      <w:proofErr w:type="spellStart"/>
      <w:r>
        <w:t>Tilly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t>Allience</w:t>
      </w:r>
      <w:proofErr w:type="spellEnd"/>
      <w:r>
        <w:t xml:space="preserve"> nabízí skupina TPA Group svým klientům služby globální sítě </w:t>
      </w:r>
      <w:proofErr w:type="spellStart"/>
      <w:r>
        <w:t>Baker</w:t>
      </w:r>
      <w:proofErr w:type="spellEnd"/>
      <w:r>
        <w:t xml:space="preserve"> </w:t>
      </w:r>
      <w:proofErr w:type="spellStart"/>
      <w:r>
        <w:t>Tilly</w:t>
      </w:r>
      <w:proofErr w:type="spellEnd"/>
      <w:r>
        <w:t xml:space="preserve"> International, která patří do první desítky celosvětových poradenských sítí. </w:t>
      </w:r>
    </w:p>
    <w:p w14:paraId="1A9B85E0" w14:textId="77777777" w:rsidR="001272D9" w:rsidRDefault="001272D9"/>
    <w:sectPr w:rsidR="001272D9" w:rsidSect="00316D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1417" w:right="1417" w:bottom="1417" w:left="1417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A3AA6" w14:textId="77777777" w:rsidR="00675A2F" w:rsidRDefault="00675A2F" w:rsidP="00087B0F">
      <w:pPr>
        <w:spacing w:after="0" w:line="240" w:lineRule="auto"/>
      </w:pPr>
      <w:r>
        <w:separator/>
      </w:r>
    </w:p>
  </w:endnote>
  <w:endnote w:type="continuationSeparator" w:id="0">
    <w:p w14:paraId="6092DC7E" w14:textId="77777777" w:rsidR="00675A2F" w:rsidRDefault="00675A2F" w:rsidP="0008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4C443" w14:textId="77777777" w:rsidR="00A71FE0" w:rsidRDefault="00A71F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E5DD5" w14:textId="77777777" w:rsidR="00A71FE0" w:rsidRDefault="00A71F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B939D" w14:textId="77777777" w:rsidR="00A71FE0" w:rsidRDefault="00A71F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C9D77" w14:textId="77777777" w:rsidR="00675A2F" w:rsidRDefault="00675A2F" w:rsidP="00087B0F">
      <w:pPr>
        <w:spacing w:after="0" w:line="240" w:lineRule="auto"/>
      </w:pPr>
      <w:r>
        <w:separator/>
      </w:r>
    </w:p>
  </w:footnote>
  <w:footnote w:type="continuationSeparator" w:id="0">
    <w:p w14:paraId="6E3589AD" w14:textId="77777777" w:rsidR="00675A2F" w:rsidRDefault="00675A2F" w:rsidP="00087B0F">
      <w:pPr>
        <w:spacing w:after="0" w:line="240" w:lineRule="auto"/>
      </w:pPr>
      <w:r>
        <w:continuationSeparator/>
      </w:r>
    </w:p>
  </w:footnote>
  <w:footnote w:id="1">
    <w:p w14:paraId="565BFA67" w14:textId="32152B3A" w:rsidR="00DE31D0" w:rsidRDefault="00DE31D0">
      <w:pPr>
        <w:pStyle w:val="Textpoznpodarou"/>
      </w:pPr>
      <w:r>
        <w:rPr>
          <w:rStyle w:val="Znakapoznpodarou"/>
        </w:rPr>
        <w:footnoteRef/>
      </w:r>
      <w:r>
        <w:t xml:space="preserve"> Ve čtvrtém čtvrtletí 2021 </w:t>
      </w:r>
      <w:r w:rsidRPr="00DE31D0">
        <w:t>proběhl prodej MALL Group AS a WE|DO s.r.o., kupujícím byla polská skupina Allegro. Hodnota transakce byla téměř 1 mld. EUR</w:t>
      </w:r>
      <w:r>
        <w:t xml:space="preserve">. Současně došlo k výraznému poklesu počtu transakcí </w:t>
      </w:r>
      <w:r w:rsidR="0023538B">
        <w:t xml:space="preserve">a transakcí, </w:t>
      </w:r>
      <w:r>
        <w:t xml:space="preserve">u kterých byla známá cena.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797B2" w14:textId="77777777" w:rsidR="00A71FE0" w:rsidRDefault="00A71F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4D380" w14:textId="77777777" w:rsidR="00704800" w:rsidRDefault="004432A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7FBAF7B" wp14:editId="5D87AFFD">
          <wp:simplePos x="0" y="0"/>
          <wp:positionH relativeFrom="margin">
            <wp:posOffset>4303395</wp:posOffset>
          </wp:positionH>
          <wp:positionV relativeFrom="margin">
            <wp:posOffset>-1171575</wp:posOffset>
          </wp:positionV>
          <wp:extent cx="1490980" cy="110998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5BE73" w14:textId="77777777" w:rsidR="00A71FE0" w:rsidRDefault="00A71FE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B0F"/>
    <w:rsid w:val="00021254"/>
    <w:rsid w:val="00024EB1"/>
    <w:rsid w:val="000474F2"/>
    <w:rsid w:val="0005087E"/>
    <w:rsid w:val="00072CA9"/>
    <w:rsid w:val="00087B0F"/>
    <w:rsid w:val="000A2944"/>
    <w:rsid w:val="000B1F52"/>
    <w:rsid w:val="000F648D"/>
    <w:rsid w:val="001272D9"/>
    <w:rsid w:val="00150B6E"/>
    <w:rsid w:val="001514D6"/>
    <w:rsid w:val="001833EC"/>
    <w:rsid w:val="00190F27"/>
    <w:rsid w:val="001B248E"/>
    <w:rsid w:val="001C0CE4"/>
    <w:rsid w:val="001C7980"/>
    <w:rsid w:val="001F387C"/>
    <w:rsid w:val="001F501D"/>
    <w:rsid w:val="002212EA"/>
    <w:rsid w:val="0023538B"/>
    <w:rsid w:val="002468A7"/>
    <w:rsid w:val="0027105E"/>
    <w:rsid w:val="002948D0"/>
    <w:rsid w:val="002A3294"/>
    <w:rsid w:val="002A7D37"/>
    <w:rsid w:val="002D4C48"/>
    <w:rsid w:val="002E39E1"/>
    <w:rsid w:val="0030704F"/>
    <w:rsid w:val="00307EBA"/>
    <w:rsid w:val="003143B9"/>
    <w:rsid w:val="00316D20"/>
    <w:rsid w:val="00381597"/>
    <w:rsid w:val="00385385"/>
    <w:rsid w:val="003916F2"/>
    <w:rsid w:val="003B5AE8"/>
    <w:rsid w:val="003D5F96"/>
    <w:rsid w:val="004010C0"/>
    <w:rsid w:val="00410BBE"/>
    <w:rsid w:val="00415AAB"/>
    <w:rsid w:val="004321DB"/>
    <w:rsid w:val="00433B9A"/>
    <w:rsid w:val="004432AB"/>
    <w:rsid w:val="00474216"/>
    <w:rsid w:val="00483CC4"/>
    <w:rsid w:val="00494A82"/>
    <w:rsid w:val="004E2B60"/>
    <w:rsid w:val="004F1F03"/>
    <w:rsid w:val="0051646C"/>
    <w:rsid w:val="0053615C"/>
    <w:rsid w:val="005744B2"/>
    <w:rsid w:val="00590F8E"/>
    <w:rsid w:val="005A2487"/>
    <w:rsid w:val="005A2DC0"/>
    <w:rsid w:val="006271A1"/>
    <w:rsid w:val="00643BFA"/>
    <w:rsid w:val="00650005"/>
    <w:rsid w:val="00667056"/>
    <w:rsid w:val="00675A2F"/>
    <w:rsid w:val="00677F43"/>
    <w:rsid w:val="006A65B5"/>
    <w:rsid w:val="006A7542"/>
    <w:rsid w:val="006B531A"/>
    <w:rsid w:val="006D4B45"/>
    <w:rsid w:val="00704800"/>
    <w:rsid w:val="00704A15"/>
    <w:rsid w:val="00734F7E"/>
    <w:rsid w:val="00735B2F"/>
    <w:rsid w:val="00764026"/>
    <w:rsid w:val="00784698"/>
    <w:rsid w:val="00792360"/>
    <w:rsid w:val="007B4CB7"/>
    <w:rsid w:val="007B5B26"/>
    <w:rsid w:val="007B5F1E"/>
    <w:rsid w:val="007C65E0"/>
    <w:rsid w:val="007C74F1"/>
    <w:rsid w:val="007D4CFC"/>
    <w:rsid w:val="007E1A19"/>
    <w:rsid w:val="008A6922"/>
    <w:rsid w:val="008D30B5"/>
    <w:rsid w:val="008E0CBB"/>
    <w:rsid w:val="00911D3B"/>
    <w:rsid w:val="009448BF"/>
    <w:rsid w:val="00966657"/>
    <w:rsid w:val="0099767A"/>
    <w:rsid w:val="009A0B16"/>
    <w:rsid w:val="009B0DF4"/>
    <w:rsid w:val="00A03AEB"/>
    <w:rsid w:val="00A71FE0"/>
    <w:rsid w:val="00AA1EC4"/>
    <w:rsid w:val="00AA2DB4"/>
    <w:rsid w:val="00AD6570"/>
    <w:rsid w:val="00AF63E5"/>
    <w:rsid w:val="00B47281"/>
    <w:rsid w:val="00BB2F4F"/>
    <w:rsid w:val="00BC4A3D"/>
    <w:rsid w:val="00BE16A9"/>
    <w:rsid w:val="00C27561"/>
    <w:rsid w:val="00C43F8F"/>
    <w:rsid w:val="00CD249C"/>
    <w:rsid w:val="00D01576"/>
    <w:rsid w:val="00D04011"/>
    <w:rsid w:val="00D26944"/>
    <w:rsid w:val="00D4284D"/>
    <w:rsid w:val="00D579C4"/>
    <w:rsid w:val="00D67270"/>
    <w:rsid w:val="00D72C84"/>
    <w:rsid w:val="00D74683"/>
    <w:rsid w:val="00DA18DA"/>
    <w:rsid w:val="00DB6D1B"/>
    <w:rsid w:val="00DC112F"/>
    <w:rsid w:val="00DD06BF"/>
    <w:rsid w:val="00DE31D0"/>
    <w:rsid w:val="00DF5919"/>
    <w:rsid w:val="00DF7E3A"/>
    <w:rsid w:val="00E20A11"/>
    <w:rsid w:val="00E62DFE"/>
    <w:rsid w:val="00E97493"/>
    <w:rsid w:val="00EA436F"/>
    <w:rsid w:val="00EB1C5A"/>
    <w:rsid w:val="00ED4CF4"/>
    <w:rsid w:val="00F32BD2"/>
    <w:rsid w:val="00FE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E48A7B5"/>
  <w15:chartTrackingRefBased/>
  <w15:docId w15:val="{CB94C65A-AEAA-42C2-B1E6-20340A8E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7B0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87B0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87B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87B0F"/>
    <w:rPr>
      <w:sz w:val="22"/>
      <w:szCs w:val="22"/>
      <w:lang w:eastAsia="en-US"/>
    </w:rPr>
  </w:style>
  <w:style w:type="paragraph" w:customStyle="1" w:styleId="F2-zkladn">
    <w:name w:val="F2 - základní"/>
    <w:link w:val="F2-zkladnCharChar"/>
    <w:rsid w:val="00EB1C5A"/>
    <w:pPr>
      <w:spacing w:before="240" w:line="300" w:lineRule="exact"/>
      <w:jc w:val="both"/>
    </w:pPr>
    <w:rPr>
      <w:rFonts w:ascii="Arial" w:eastAsia="Times New Roman" w:hAnsi="Arial" w:cs="Arial"/>
      <w:lang w:eastAsia="cs-CZ"/>
    </w:rPr>
  </w:style>
  <w:style w:type="character" w:styleId="Hypertextovodkaz">
    <w:name w:val="Hyperlink"/>
    <w:semiHidden/>
    <w:rsid w:val="00EB1C5A"/>
    <w:rPr>
      <w:color w:val="0000FF"/>
      <w:u w:val="single"/>
    </w:rPr>
  </w:style>
  <w:style w:type="character" w:customStyle="1" w:styleId="F2-zkladnCharChar">
    <w:name w:val="F2 - základní Char Char"/>
    <w:link w:val="F2-zkladn"/>
    <w:rsid w:val="00EB1C5A"/>
    <w:rPr>
      <w:rFonts w:ascii="Arial" w:eastAsia="Times New Roman" w:hAnsi="Arial" w:cs="Arial"/>
    </w:rPr>
  </w:style>
  <w:style w:type="character" w:styleId="Odkaznakoment">
    <w:name w:val="annotation reference"/>
    <w:uiPriority w:val="99"/>
    <w:semiHidden/>
    <w:unhideWhenUsed/>
    <w:rsid w:val="00BC4A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4A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C4A3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4A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C4A3D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C4A3D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BC4A3D"/>
    <w:rPr>
      <w:sz w:val="22"/>
      <w:szCs w:val="22"/>
      <w:lang w:eastAsia="en-US"/>
    </w:rPr>
  </w:style>
  <w:style w:type="paragraph" w:customStyle="1" w:styleId="Default">
    <w:name w:val="Default"/>
    <w:rsid w:val="00024EB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468A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468A7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2468A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5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531A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B531A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2A3294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ED4C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kertillyinternational.com/web/home.asp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amila.zitnakova@crestcom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akertilly.de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4D755-B27C-44A7-AE74-9DCC544A0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641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Links>
    <vt:vector size="18" baseType="variant">
      <vt:variant>
        <vt:i4>1966161</vt:i4>
      </vt:variant>
      <vt:variant>
        <vt:i4>9</vt:i4>
      </vt:variant>
      <vt:variant>
        <vt:i4>0</vt:i4>
      </vt:variant>
      <vt:variant>
        <vt:i4>5</vt:i4>
      </vt:variant>
      <vt:variant>
        <vt:lpwstr>http://www.bakertilly.de/</vt:lpwstr>
      </vt:variant>
      <vt:variant>
        <vt:lpwstr/>
      </vt:variant>
      <vt:variant>
        <vt:i4>720917</vt:i4>
      </vt:variant>
      <vt:variant>
        <vt:i4>6</vt:i4>
      </vt:variant>
      <vt:variant>
        <vt:i4>0</vt:i4>
      </vt:variant>
      <vt:variant>
        <vt:i4>5</vt:i4>
      </vt:variant>
      <vt:variant>
        <vt:lpwstr>http://www.bakertillyinternational.com/web/home.aspx</vt:lpwstr>
      </vt:variant>
      <vt:variant>
        <vt:lpwstr/>
      </vt:variant>
      <vt:variant>
        <vt:i4>5636133</vt:i4>
      </vt:variant>
      <vt:variant>
        <vt:i4>3</vt:i4>
      </vt:variant>
      <vt:variant>
        <vt:i4>0</vt:i4>
      </vt:variant>
      <vt:variant>
        <vt:i4>5</vt:i4>
      </vt:variant>
      <vt:variant>
        <vt:lpwstr>mailto:marcela.stefcova@crestcom.cz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Linhartová</dc:creator>
  <cp:keywords/>
  <dc:description/>
  <cp:lastModifiedBy>Dokumenty Crestcom</cp:lastModifiedBy>
  <cp:revision>3</cp:revision>
  <cp:lastPrinted>2016-08-25T19:42:00Z</cp:lastPrinted>
  <dcterms:created xsi:type="dcterms:W3CDTF">2023-01-13T10:43:00Z</dcterms:created>
  <dcterms:modified xsi:type="dcterms:W3CDTF">2023-01-18T08:36:00Z</dcterms:modified>
</cp:coreProperties>
</file>